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66" w:rsidRDefault="00EA084C">
      <w:pPr>
        <w:jc w:val="center"/>
      </w:pPr>
      <w:r>
        <w:rPr>
          <w:rFonts w:asciiTheme="minorHAnsi" w:hAnsiTheme="minorHAnsi"/>
          <w:b/>
          <w:sz w:val="28"/>
          <w:szCs w:val="28"/>
        </w:rPr>
        <w:t>REPRESENTAÇÃO</w:t>
      </w:r>
      <w:r w:rsidR="00B31434">
        <w:rPr>
          <w:rFonts w:asciiTheme="minorHAnsi" w:hAnsiTheme="minorHAnsi"/>
          <w:b/>
          <w:sz w:val="28"/>
          <w:szCs w:val="28"/>
        </w:rPr>
        <w:t xml:space="preserve"> Nº. </w:t>
      </w:r>
      <w:r w:rsidR="00A546FB">
        <w:rPr>
          <w:rFonts w:asciiTheme="minorHAnsi" w:hAnsiTheme="minorHAnsi"/>
          <w:b/>
          <w:sz w:val="28"/>
          <w:szCs w:val="28"/>
        </w:rPr>
        <w:t>02</w:t>
      </w:r>
      <w:r w:rsidR="00B31434">
        <w:rPr>
          <w:rFonts w:asciiTheme="minorHAnsi" w:hAnsiTheme="minorHAnsi"/>
          <w:b/>
          <w:sz w:val="28"/>
          <w:szCs w:val="28"/>
        </w:rPr>
        <w:t>/2018</w:t>
      </w:r>
    </w:p>
    <w:p w:rsidR="00DB4866" w:rsidRDefault="00A546F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A546FB" w:rsidRDefault="00A546FB">
      <w:pPr>
        <w:jc w:val="center"/>
        <w:rPr>
          <w:rFonts w:asciiTheme="minorHAnsi" w:hAnsiTheme="minorHAnsi"/>
          <w:b/>
          <w:sz w:val="28"/>
          <w:szCs w:val="28"/>
        </w:rPr>
      </w:pPr>
    </w:p>
    <w:p w:rsidR="00DB4866" w:rsidRDefault="00B3143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DB4866" w:rsidRDefault="00DB4866">
      <w:pPr>
        <w:rPr>
          <w:rFonts w:asciiTheme="minorHAnsi" w:hAnsiTheme="minorHAnsi"/>
          <w:b/>
          <w:sz w:val="28"/>
          <w:szCs w:val="28"/>
        </w:rPr>
      </w:pPr>
    </w:p>
    <w:p w:rsidR="00DB4866" w:rsidRDefault="00B3143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Apresento a Vossa Senhoria nos termos </w:t>
      </w:r>
      <w:r w:rsidR="00EA084C">
        <w:rPr>
          <w:rFonts w:asciiTheme="minorHAnsi" w:hAnsiTheme="minorHAnsi"/>
          <w:sz w:val="28"/>
          <w:szCs w:val="28"/>
        </w:rPr>
        <w:t>do artigo 183, a seguinte representação:</w:t>
      </w:r>
    </w:p>
    <w:p w:rsidR="00DB4866" w:rsidRDefault="00DB4866">
      <w:pPr>
        <w:jc w:val="both"/>
        <w:rPr>
          <w:rFonts w:asciiTheme="minorHAnsi" w:hAnsiTheme="minorHAnsi"/>
          <w:sz w:val="28"/>
          <w:szCs w:val="28"/>
        </w:rPr>
      </w:pPr>
    </w:p>
    <w:p w:rsidR="00DB4866" w:rsidRDefault="00A546FB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Que seja encaminhada denúncia ao Tribunal de Contas de Minas Gerais, solicitando auditoria minuciosa nos gastos de recursos da Educação nos exercícios 2017 e 2018.</w:t>
      </w:r>
    </w:p>
    <w:p w:rsidR="00DB4866" w:rsidRDefault="00B31434">
      <w:pPr>
        <w:jc w:val="center"/>
      </w:pPr>
      <w:r>
        <w:rPr>
          <w:rFonts w:asciiTheme="minorHAnsi" w:hAnsiTheme="minorHAnsi"/>
          <w:sz w:val="28"/>
          <w:szCs w:val="28"/>
        </w:rPr>
        <w:t>JUSTIFICATIVA:</w:t>
      </w: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A07266" w:rsidRDefault="00B3143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E71DE1">
        <w:rPr>
          <w:rFonts w:asciiTheme="minorHAnsi" w:hAnsiTheme="minorHAnsi"/>
          <w:sz w:val="28"/>
          <w:szCs w:val="28"/>
        </w:rPr>
        <w:t xml:space="preserve">Antes de mais nada, é preciso justificar que a apresentação desta representação está sendo feita, principalmente, pelo fato da uma boa parte dos vereadores desta Casa, não agirem com isenção na análise e conclusão de desvios cometidos pela atual gestão, bastando para isso ver como se portaram ao analisar o Relatório Final da Comissão de Inquérito  que investigou os crimes cometidos dentro da Administração quando alguém falsificou assinaturas </w:t>
      </w:r>
      <w:r w:rsidR="00823AC2">
        <w:rPr>
          <w:rFonts w:asciiTheme="minorHAnsi" w:hAnsiTheme="minorHAnsi"/>
          <w:sz w:val="28"/>
          <w:szCs w:val="28"/>
        </w:rPr>
        <w:t>n</w:t>
      </w:r>
      <w:r w:rsidR="00E71DE1">
        <w:rPr>
          <w:rFonts w:asciiTheme="minorHAnsi" w:hAnsiTheme="minorHAnsi"/>
          <w:sz w:val="28"/>
          <w:szCs w:val="28"/>
        </w:rPr>
        <w:t>um processo licitatór</w:t>
      </w:r>
      <w:r w:rsidR="00A07266">
        <w:rPr>
          <w:rFonts w:asciiTheme="minorHAnsi" w:hAnsiTheme="minorHAnsi"/>
          <w:sz w:val="28"/>
          <w:szCs w:val="28"/>
        </w:rPr>
        <w:t>io. Sequer a punição do responsável pelo setor, que assumiu dentro da Comissão suas responsabilidades, fora aprovada por alguns pares.</w:t>
      </w:r>
    </w:p>
    <w:p w:rsidR="00EA084C" w:rsidRDefault="00E20929" w:rsidP="00E71DE1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Desde o início de 2018, venho realizando estudos no sentido de fiscalizar a aplicação dos recursos da Educação no Município de Bicas, motivado principalmente pelo não pagamento do abono integral de final de ano aos servidores daquela pasta</w:t>
      </w:r>
      <w:r w:rsidR="004349E8">
        <w:rPr>
          <w:rFonts w:asciiTheme="minorHAnsi" w:hAnsiTheme="minorHAnsi"/>
          <w:sz w:val="28"/>
          <w:szCs w:val="28"/>
        </w:rPr>
        <w:t xml:space="preserve"> no exercício de 2017</w:t>
      </w:r>
      <w:r w:rsidR="00D24151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D24151">
        <w:rPr>
          <w:rFonts w:asciiTheme="minorHAnsi" w:hAnsiTheme="minorHAnsi"/>
          <w:sz w:val="28"/>
          <w:szCs w:val="28"/>
        </w:rPr>
        <w:t>e também</w:t>
      </w:r>
      <w:proofErr w:type="gramEnd"/>
      <w:r w:rsidR="00D24151">
        <w:rPr>
          <w:rFonts w:asciiTheme="minorHAnsi" w:hAnsiTheme="minorHAnsi"/>
          <w:sz w:val="28"/>
          <w:szCs w:val="28"/>
        </w:rPr>
        <w:t xml:space="preserve"> por </w:t>
      </w:r>
      <w:r w:rsidR="00D24151">
        <w:rPr>
          <w:rFonts w:asciiTheme="minorHAnsi" w:hAnsiTheme="minorHAnsi"/>
          <w:sz w:val="28"/>
          <w:szCs w:val="28"/>
        </w:rPr>
        <w:lastRenderedPageBreak/>
        <w:t>conhecer as práticas que foram habituais e</w:t>
      </w:r>
      <w:r w:rsidR="00E71DE1">
        <w:rPr>
          <w:rFonts w:asciiTheme="minorHAnsi" w:hAnsiTheme="minorHAnsi"/>
          <w:sz w:val="28"/>
          <w:szCs w:val="28"/>
        </w:rPr>
        <w:t>m mandatos anteriores do atual gestor</w:t>
      </w:r>
      <w:r w:rsidR="00D24151">
        <w:rPr>
          <w:rFonts w:asciiTheme="minorHAnsi" w:hAnsiTheme="minorHAnsi"/>
          <w:sz w:val="28"/>
          <w:szCs w:val="28"/>
        </w:rPr>
        <w:t>.</w:t>
      </w:r>
    </w:p>
    <w:p w:rsidR="0076497C" w:rsidRDefault="0076497C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Inicialmente </w:t>
      </w:r>
      <w:r w:rsidR="00EF41FA">
        <w:rPr>
          <w:rFonts w:asciiTheme="minorHAnsi" w:hAnsiTheme="minorHAnsi"/>
          <w:sz w:val="28"/>
          <w:szCs w:val="28"/>
        </w:rPr>
        <w:t>levantei</w:t>
      </w:r>
      <w:r>
        <w:rPr>
          <w:rFonts w:asciiTheme="minorHAnsi" w:hAnsiTheme="minorHAnsi"/>
          <w:sz w:val="28"/>
          <w:szCs w:val="28"/>
        </w:rPr>
        <w:t xml:space="preserve"> todos os empenhos, pagamentos e discriminação dos produtos de material de construção e similares adquiridos no exercício 2017.</w:t>
      </w:r>
      <w:r w:rsidR="00823AC2">
        <w:rPr>
          <w:rFonts w:asciiTheme="minorHAnsi" w:hAnsiTheme="minorHAnsi"/>
          <w:sz w:val="28"/>
          <w:szCs w:val="28"/>
        </w:rPr>
        <w:t xml:space="preserve"> Organizada</w:t>
      </w:r>
      <w:r w:rsidR="00395C8C">
        <w:rPr>
          <w:rFonts w:asciiTheme="minorHAnsi" w:hAnsiTheme="minorHAnsi"/>
          <w:sz w:val="28"/>
          <w:szCs w:val="28"/>
        </w:rPr>
        <w:t>s em uma planilha</w:t>
      </w:r>
      <w:r w:rsidR="006C7FD5">
        <w:rPr>
          <w:rFonts w:asciiTheme="minorHAnsi" w:hAnsiTheme="minorHAnsi"/>
          <w:sz w:val="28"/>
          <w:szCs w:val="28"/>
        </w:rPr>
        <w:t xml:space="preserve"> (</w:t>
      </w:r>
      <w:r w:rsidR="000435C4">
        <w:rPr>
          <w:rFonts w:asciiTheme="minorHAnsi" w:hAnsiTheme="minorHAnsi"/>
          <w:sz w:val="28"/>
          <w:szCs w:val="28"/>
        </w:rPr>
        <w:t>pasta 01</w:t>
      </w:r>
      <w:r w:rsidR="006C7FD5">
        <w:rPr>
          <w:rFonts w:asciiTheme="minorHAnsi" w:hAnsiTheme="minorHAnsi"/>
          <w:sz w:val="28"/>
          <w:szCs w:val="28"/>
        </w:rPr>
        <w:t>)</w:t>
      </w:r>
      <w:r w:rsidR="00395C8C">
        <w:rPr>
          <w:rFonts w:asciiTheme="minorHAnsi" w:hAnsiTheme="minorHAnsi"/>
          <w:sz w:val="28"/>
          <w:szCs w:val="28"/>
        </w:rPr>
        <w:t>, as compras passaram a ser por mim analisadas.</w:t>
      </w:r>
    </w:p>
    <w:p w:rsidR="00395C8C" w:rsidRDefault="00395C8C" w:rsidP="00E71DE1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 pronto a</w:t>
      </w:r>
      <w:r w:rsidR="008F0D2A">
        <w:rPr>
          <w:rFonts w:asciiTheme="minorHAnsi" w:hAnsiTheme="minorHAnsi"/>
          <w:sz w:val="28"/>
          <w:szCs w:val="28"/>
        </w:rPr>
        <w:t>lguns números chamaram atenção, com</w:t>
      </w:r>
      <w:r w:rsidR="00A1453F">
        <w:rPr>
          <w:rFonts w:asciiTheme="minorHAnsi" w:hAnsiTheme="minorHAnsi"/>
          <w:sz w:val="28"/>
          <w:szCs w:val="28"/>
        </w:rPr>
        <w:t>o podemos ver no quadro abaixo:</w:t>
      </w: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1902"/>
      </w:tblGrid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A1453F" w:rsidRPr="00A1453F" w:rsidRDefault="00A1453F" w:rsidP="00A145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A14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roduto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A1453F" w:rsidRPr="00A1453F" w:rsidRDefault="00A1453F" w:rsidP="00A145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02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Argamassa 20 kg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sacos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Areia lavada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m³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Brita nº 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m³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Cimento 50 kg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sacos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Pó de pedra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46,5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m³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Fios e cabos elétricos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3912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metros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Caixa para luz (4 x 2 plástica)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unid.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Interruptores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unid.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Lâmpadas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643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unid.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Reatores eletrônicos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unid.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Tinta acrílica Econômica 18 </w:t>
            </w:r>
            <w:proofErr w:type="spellStart"/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latas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Torneiras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unid.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Ferro 0,5 mm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varas (6 </w:t>
            </w:r>
            <w:proofErr w:type="spellStart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mts</w:t>
            </w:r>
            <w:proofErr w:type="spellEnd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Ferro nervurado 1/2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varas (12 </w:t>
            </w:r>
            <w:proofErr w:type="spellStart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mts</w:t>
            </w:r>
            <w:proofErr w:type="spellEnd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Metalon 20 x </w:t>
            </w:r>
            <w:proofErr w:type="gramStart"/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20 chapa</w:t>
            </w:r>
            <w:proofErr w:type="gramEnd"/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1453F" w:rsidRPr="00A1453F" w:rsidRDefault="00A1453F" w:rsidP="00DD25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tubos (6 </w:t>
            </w:r>
            <w:proofErr w:type="spellStart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mts</w:t>
            </w:r>
            <w:proofErr w:type="spellEnd"/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1453F" w:rsidRPr="00A1453F" w:rsidTr="00DD25A3">
        <w:trPr>
          <w:trHeight w:val="300"/>
          <w:jc w:val="center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Telha Galvanizada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1453F" w:rsidRPr="00A1453F" w:rsidRDefault="00A1453F" w:rsidP="00A145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453F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  <w:r w:rsidR="00DD2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m²</w:t>
            </w:r>
          </w:p>
        </w:tc>
      </w:tr>
    </w:tbl>
    <w:p w:rsidR="00A1453F" w:rsidRDefault="00A1453F" w:rsidP="00E71DE1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E71DE1" w:rsidRDefault="00823AC2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Diante destes números, levei a discussão à Comissão de Finanças, Legislação e Justiça</w:t>
      </w:r>
      <w:r w:rsidR="00EF41FA">
        <w:rPr>
          <w:rFonts w:asciiTheme="minorHAnsi" w:hAnsiTheme="minorHAnsi"/>
          <w:sz w:val="28"/>
          <w:szCs w:val="28"/>
        </w:rPr>
        <w:t xml:space="preserve"> (CFLJ)</w:t>
      </w:r>
      <w:r>
        <w:rPr>
          <w:rFonts w:asciiTheme="minorHAnsi" w:hAnsiTheme="minorHAnsi"/>
          <w:sz w:val="28"/>
          <w:szCs w:val="28"/>
        </w:rPr>
        <w:t xml:space="preserve">, compartilhando com os demais vereadores o resumo de compras do ano de 2017 da Educação em materiais de construção e similares. Decidimos fazer uma verificação </w:t>
      </w:r>
      <w:r w:rsidRPr="00366CD9">
        <w:rPr>
          <w:rFonts w:asciiTheme="minorHAnsi" w:hAnsiTheme="minorHAnsi"/>
          <w:i/>
          <w:sz w:val="28"/>
          <w:szCs w:val="28"/>
        </w:rPr>
        <w:t>in loco</w:t>
      </w:r>
      <w:r>
        <w:rPr>
          <w:rFonts w:asciiTheme="minorHAnsi" w:hAnsiTheme="minorHAnsi"/>
          <w:sz w:val="28"/>
          <w:szCs w:val="28"/>
        </w:rPr>
        <w:t xml:space="preserve">, visitando </w:t>
      </w:r>
      <w:r>
        <w:rPr>
          <w:rFonts w:asciiTheme="minorHAnsi" w:hAnsiTheme="minorHAnsi"/>
          <w:sz w:val="28"/>
          <w:szCs w:val="28"/>
        </w:rPr>
        <w:lastRenderedPageBreak/>
        <w:t xml:space="preserve">as escolas para </w:t>
      </w:r>
      <w:r w:rsidR="00366CD9">
        <w:rPr>
          <w:rFonts w:asciiTheme="minorHAnsi" w:hAnsiTheme="minorHAnsi"/>
          <w:sz w:val="28"/>
          <w:szCs w:val="28"/>
        </w:rPr>
        <w:t>avaliar</w:t>
      </w:r>
      <w:r>
        <w:rPr>
          <w:rFonts w:asciiTheme="minorHAnsi" w:hAnsiTheme="minorHAnsi"/>
          <w:sz w:val="28"/>
          <w:szCs w:val="28"/>
        </w:rPr>
        <w:t xml:space="preserve"> sua estrutura física e </w:t>
      </w:r>
      <w:r w:rsidR="00F028BB">
        <w:rPr>
          <w:rFonts w:asciiTheme="minorHAnsi" w:hAnsiTheme="minorHAnsi"/>
          <w:sz w:val="28"/>
          <w:szCs w:val="28"/>
        </w:rPr>
        <w:t>se os dados eram compatíveis com o estado de conservação das mesmas.</w:t>
      </w:r>
    </w:p>
    <w:p w:rsidR="00316E26" w:rsidRDefault="000435C4" w:rsidP="00823AC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 pasta 0</w:t>
      </w:r>
      <w:r w:rsidR="00793B15">
        <w:rPr>
          <w:rFonts w:asciiTheme="minorHAnsi" w:hAnsiTheme="minorHAnsi"/>
          <w:sz w:val="28"/>
          <w:szCs w:val="28"/>
        </w:rPr>
        <w:t>2</w:t>
      </w:r>
      <w:r w:rsidR="00366CD9">
        <w:rPr>
          <w:rFonts w:asciiTheme="minorHAnsi" w:hAnsiTheme="minorHAnsi"/>
          <w:sz w:val="28"/>
          <w:szCs w:val="28"/>
        </w:rPr>
        <w:t xml:space="preserve"> da mídia digital</w:t>
      </w:r>
      <w:r>
        <w:rPr>
          <w:rFonts w:asciiTheme="minorHAnsi" w:hAnsiTheme="minorHAnsi"/>
          <w:sz w:val="28"/>
          <w:szCs w:val="28"/>
        </w:rPr>
        <w:t xml:space="preserve"> anexa</w:t>
      </w:r>
      <w:r w:rsidR="00366CD9">
        <w:rPr>
          <w:rFonts w:asciiTheme="minorHAnsi" w:hAnsiTheme="minorHAnsi"/>
          <w:sz w:val="28"/>
          <w:szCs w:val="28"/>
        </w:rPr>
        <w:t>, temos os relatórios de visitas, assinados pelos vereadores que participaram, e as gravações em áudio destas mesmas visitas.  Nelas podemos ver que somente a E. M. Maria Antonieta foi pintada no ano de 2017 e somente a parte interna</w:t>
      </w:r>
      <w:r w:rsidR="007862B0">
        <w:rPr>
          <w:rFonts w:asciiTheme="minorHAnsi" w:hAnsiTheme="minorHAnsi"/>
          <w:sz w:val="28"/>
          <w:szCs w:val="28"/>
        </w:rPr>
        <w:t>, ainda assim, a Diretora da escola afirmou que os materiais teriam sido adquiridos com recursos do Programa Dinheiro Direto na Escola (PDDE), do Caixa Escolar e de doações dos pais dos alunos</w:t>
      </w:r>
      <w:r w:rsidR="00366CD9">
        <w:rPr>
          <w:rFonts w:asciiTheme="minorHAnsi" w:hAnsiTheme="minorHAnsi"/>
          <w:sz w:val="28"/>
          <w:szCs w:val="28"/>
        </w:rPr>
        <w:t xml:space="preserve">. </w:t>
      </w:r>
      <w:r w:rsidR="00C066FA">
        <w:rPr>
          <w:rFonts w:asciiTheme="minorHAnsi" w:hAnsiTheme="minorHAnsi"/>
          <w:sz w:val="28"/>
          <w:szCs w:val="28"/>
        </w:rPr>
        <w:t xml:space="preserve">Como justificar, portanto, a aquisição de tintas de parede suficientes para pintar </w:t>
      </w:r>
      <w:r w:rsidR="009F5D7F">
        <w:rPr>
          <w:rFonts w:asciiTheme="minorHAnsi" w:hAnsiTheme="minorHAnsi"/>
          <w:sz w:val="28"/>
          <w:szCs w:val="28"/>
        </w:rPr>
        <w:t>20.124</w:t>
      </w:r>
      <w:r w:rsidR="00161791">
        <w:rPr>
          <w:rFonts w:asciiTheme="minorHAnsi" w:hAnsiTheme="minorHAnsi"/>
          <w:sz w:val="28"/>
          <w:szCs w:val="28"/>
        </w:rPr>
        <w:t xml:space="preserve"> m² de paredes, segundo informações de rendimento do fabricante?</w:t>
      </w:r>
      <w:r w:rsidR="007862B0">
        <w:rPr>
          <w:rFonts w:asciiTheme="minorHAnsi" w:hAnsiTheme="minorHAnsi"/>
          <w:sz w:val="28"/>
          <w:szCs w:val="28"/>
        </w:rPr>
        <w:t xml:space="preserve"> Chama ainda mais atenção se analisarmos as co</w:t>
      </w:r>
      <w:r w:rsidR="00BA24F8">
        <w:rPr>
          <w:rFonts w:asciiTheme="minorHAnsi" w:hAnsiTheme="minorHAnsi"/>
          <w:sz w:val="28"/>
          <w:szCs w:val="28"/>
        </w:rPr>
        <w:t>mpras de 2018 deste mesmo item (</w:t>
      </w:r>
      <w:r w:rsidR="00793B15">
        <w:rPr>
          <w:rFonts w:asciiTheme="minorHAnsi" w:hAnsiTheme="minorHAnsi"/>
          <w:sz w:val="28"/>
          <w:szCs w:val="28"/>
        </w:rPr>
        <w:t>pasta 0</w:t>
      </w:r>
      <w:r w:rsidR="003975CD">
        <w:rPr>
          <w:rFonts w:asciiTheme="minorHAnsi" w:hAnsiTheme="minorHAnsi"/>
          <w:sz w:val="28"/>
          <w:szCs w:val="28"/>
        </w:rPr>
        <w:t>3</w:t>
      </w:r>
      <w:r w:rsidR="00BA24F8">
        <w:rPr>
          <w:rFonts w:asciiTheme="minorHAnsi" w:hAnsiTheme="minorHAnsi"/>
          <w:sz w:val="28"/>
          <w:szCs w:val="28"/>
        </w:rPr>
        <w:t xml:space="preserve">), quando foram adquiridas até o mês de julho um total de mais 85 latas de tinta acrílica de 18 litros, suficientes para pintar mais </w:t>
      </w:r>
      <w:r w:rsidR="000760AF">
        <w:rPr>
          <w:rFonts w:asciiTheme="minorHAnsi" w:hAnsiTheme="minorHAnsi"/>
          <w:sz w:val="28"/>
          <w:szCs w:val="28"/>
        </w:rPr>
        <w:t>19.890 m² de paredes.</w:t>
      </w:r>
      <w:r w:rsidR="00F25FF9">
        <w:rPr>
          <w:rFonts w:asciiTheme="minorHAnsi" w:hAnsiTheme="minorHAnsi"/>
          <w:sz w:val="28"/>
          <w:szCs w:val="28"/>
        </w:rPr>
        <w:t xml:space="preserve"> Juntando estes dois números, teríamos tinta suficiente para pintar 40 mil metros quadrados de paredes. </w:t>
      </w:r>
      <w:r w:rsidR="006F1D11">
        <w:rPr>
          <w:rFonts w:asciiTheme="minorHAnsi" w:hAnsiTheme="minorHAnsi"/>
          <w:sz w:val="28"/>
          <w:szCs w:val="28"/>
        </w:rPr>
        <w:t xml:space="preserve">Considerando </w:t>
      </w:r>
      <w:r w:rsidR="00F25FF9">
        <w:rPr>
          <w:rFonts w:asciiTheme="minorHAnsi" w:hAnsiTheme="minorHAnsi"/>
          <w:sz w:val="28"/>
          <w:szCs w:val="28"/>
        </w:rPr>
        <w:t xml:space="preserve">que o tamanho médio de uma sala de aula é de </w:t>
      </w:r>
      <w:r w:rsidR="006F1D11">
        <w:rPr>
          <w:rFonts w:asciiTheme="minorHAnsi" w:hAnsiTheme="minorHAnsi"/>
          <w:sz w:val="28"/>
          <w:szCs w:val="28"/>
        </w:rPr>
        <w:t xml:space="preserve">cerca de 50 m² (10 x 5 </w:t>
      </w:r>
      <w:proofErr w:type="spellStart"/>
      <w:r w:rsidR="006F1D11">
        <w:rPr>
          <w:rFonts w:asciiTheme="minorHAnsi" w:hAnsiTheme="minorHAnsi"/>
          <w:sz w:val="28"/>
          <w:szCs w:val="28"/>
        </w:rPr>
        <w:t>mts</w:t>
      </w:r>
      <w:proofErr w:type="spellEnd"/>
      <w:r w:rsidR="006F1D11">
        <w:rPr>
          <w:rFonts w:asciiTheme="minorHAnsi" w:hAnsiTheme="minorHAnsi"/>
          <w:sz w:val="28"/>
          <w:szCs w:val="28"/>
        </w:rPr>
        <w:t xml:space="preserve">) com um pé direito de 3 metros, teríamos cerca de 80 m² de paredes por sala de aula, sem descontar portas e janelas. Isso significa que as tintas compradas até aqui seriam suficientes para pintar nada mais, nada menos, que </w:t>
      </w:r>
      <w:r w:rsidR="008C2B64">
        <w:rPr>
          <w:rFonts w:asciiTheme="minorHAnsi" w:hAnsiTheme="minorHAnsi"/>
          <w:sz w:val="28"/>
          <w:szCs w:val="28"/>
        </w:rPr>
        <w:t>500 salas de aula.</w:t>
      </w:r>
    </w:p>
    <w:p w:rsidR="00366CD9" w:rsidRDefault="00316E26" w:rsidP="00823AC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Outros dados que chamam bastante atenção são os que envolvem materiais elétricos. Em 2017 foram compradas 643 lâmpadas e em 2018</w:t>
      </w:r>
      <w:r w:rsidR="008E4367">
        <w:rPr>
          <w:rFonts w:asciiTheme="minorHAnsi" w:hAnsiTheme="minorHAnsi"/>
          <w:sz w:val="28"/>
          <w:szCs w:val="28"/>
        </w:rPr>
        <w:t xml:space="preserve"> (até julho)</w:t>
      </w:r>
      <w:r>
        <w:rPr>
          <w:rFonts w:asciiTheme="minorHAnsi" w:hAnsiTheme="minorHAnsi"/>
          <w:sz w:val="28"/>
          <w:szCs w:val="28"/>
        </w:rPr>
        <w:t xml:space="preserve"> mais </w:t>
      </w:r>
      <w:r w:rsidR="00DA0838">
        <w:rPr>
          <w:rFonts w:asciiTheme="minorHAnsi" w:hAnsiTheme="minorHAnsi"/>
          <w:sz w:val="28"/>
          <w:szCs w:val="28"/>
        </w:rPr>
        <w:t>475, ou seja, 1.118 lâmpadas em pouco mais de 1</w:t>
      </w:r>
      <w:r w:rsidR="008E4367">
        <w:rPr>
          <w:rFonts w:asciiTheme="minorHAnsi" w:hAnsiTheme="minorHAnsi"/>
          <w:sz w:val="28"/>
          <w:szCs w:val="28"/>
        </w:rPr>
        <w:t>9</w:t>
      </w:r>
      <w:r w:rsidR="00DA0838">
        <w:rPr>
          <w:rFonts w:asciiTheme="minorHAnsi" w:hAnsiTheme="minorHAnsi"/>
          <w:sz w:val="28"/>
          <w:szCs w:val="28"/>
        </w:rPr>
        <w:t xml:space="preserve"> meses.</w:t>
      </w:r>
      <w:r w:rsidR="0068570F">
        <w:rPr>
          <w:rFonts w:asciiTheme="minorHAnsi" w:hAnsiTheme="minorHAnsi"/>
          <w:sz w:val="28"/>
          <w:szCs w:val="28"/>
        </w:rPr>
        <w:t xml:space="preserve"> </w:t>
      </w:r>
      <w:r w:rsidR="0068570F">
        <w:rPr>
          <w:rFonts w:asciiTheme="minorHAnsi" w:hAnsiTheme="minorHAnsi"/>
          <w:sz w:val="28"/>
          <w:szCs w:val="28"/>
        </w:rPr>
        <w:lastRenderedPageBreak/>
        <w:t>Fios e cabos elétricos foram 3.912 metros em 2017, mais 1.670 metros em 2018, total de 5.582 metros. E ainda i</w:t>
      </w:r>
      <w:r w:rsidR="002B792F">
        <w:rPr>
          <w:rFonts w:asciiTheme="minorHAnsi" w:hAnsiTheme="minorHAnsi"/>
          <w:sz w:val="28"/>
          <w:szCs w:val="28"/>
        </w:rPr>
        <w:t>nterruptores</w:t>
      </w:r>
      <w:r w:rsidR="0068570F">
        <w:rPr>
          <w:rFonts w:asciiTheme="minorHAnsi" w:hAnsiTheme="minorHAnsi"/>
          <w:sz w:val="28"/>
          <w:szCs w:val="28"/>
        </w:rPr>
        <w:t>, que</w:t>
      </w:r>
      <w:r w:rsidR="002B792F">
        <w:rPr>
          <w:rFonts w:asciiTheme="minorHAnsi" w:hAnsiTheme="minorHAnsi"/>
          <w:sz w:val="28"/>
          <w:szCs w:val="28"/>
        </w:rPr>
        <w:t xml:space="preserve"> foram 104 em 2017 e 91 em 2018, totalizando 195 unidades. </w:t>
      </w:r>
      <w:r w:rsidR="0068570F">
        <w:rPr>
          <w:rFonts w:asciiTheme="minorHAnsi" w:hAnsiTheme="minorHAnsi"/>
          <w:sz w:val="28"/>
          <w:szCs w:val="28"/>
        </w:rPr>
        <w:t>Mas</w:t>
      </w:r>
      <w:r w:rsidR="002B792F">
        <w:rPr>
          <w:rFonts w:asciiTheme="minorHAnsi" w:hAnsiTheme="minorHAnsi"/>
          <w:sz w:val="28"/>
          <w:szCs w:val="28"/>
        </w:rPr>
        <w:t xml:space="preserve"> ainda nos deparamos com cenas como </w:t>
      </w:r>
      <w:r w:rsidR="0081161F">
        <w:rPr>
          <w:rFonts w:asciiTheme="minorHAnsi" w:hAnsiTheme="minorHAnsi"/>
          <w:sz w:val="28"/>
          <w:szCs w:val="28"/>
        </w:rPr>
        <w:t>n</w:t>
      </w:r>
      <w:r w:rsidR="002B792F">
        <w:rPr>
          <w:rFonts w:asciiTheme="minorHAnsi" w:hAnsiTheme="minorHAnsi"/>
          <w:sz w:val="28"/>
          <w:szCs w:val="28"/>
        </w:rPr>
        <w:t>esta</w:t>
      </w:r>
      <w:r w:rsidR="0081161F">
        <w:rPr>
          <w:rFonts w:asciiTheme="minorHAnsi" w:hAnsiTheme="minorHAnsi"/>
          <w:sz w:val="28"/>
          <w:szCs w:val="28"/>
        </w:rPr>
        <w:t>s</w:t>
      </w:r>
      <w:r w:rsidR="002B792F">
        <w:rPr>
          <w:rFonts w:asciiTheme="minorHAnsi" w:hAnsiTheme="minorHAnsi"/>
          <w:sz w:val="28"/>
          <w:szCs w:val="28"/>
        </w:rPr>
        <w:t xml:space="preserve"> foto</w:t>
      </w:r>
      <w:r w:rsidR="0081161F">
        <w:rPr>
          <w:rFonts w:asciiTheme="minorHAnsi" w:hAnsiTheme="minorHAnsi"/>
          <w:sz w:val="28"/>
          <w:szCs w:val="28"/>
        </w:rPr>
        <w:t>s</w:t>
      </w:r>
      <w:r w:rsidR="002B792F">
        <w:rPr>
          <w:rFonts w:asciiTheme="minorHAnsi" w:hAnsiTheme="minorHAnsi"/>
          <w:sz w:val="28"/>
          <w:szCs w:val="28"/>
        </w:rPr>
        <w:t xml:space="preserve"> abaixo, capturada</w:t>
      </w:r>
      <w:r w:rsidR="0081161F">
        <w:rPr>
          <w:rFonts w:asciiTheme="minorHAnsi" w:hAnsiTheme="minorHAnsi"/>
          <w:sz w:val="28"/>
          <w:szCs w:val="28"/>
        </w:rPr>
        <w:t>s</w:t>
      </w:r>
      <w:r w:rsidR="002B792F">
        <w:rPr>
          <w:rFonts w:asciiTheme="minorHAnsi" w:hAnsiTheme="minorHAnsi"/>
          <w:sz w:val="28"/>
          <w:szCs w:val="28"/>
        </w:rPr>
        <w:t xml:space="preserve"> no dia 22 de maio </w:t>
      </w:r>
      <w:r w:rsidR="00A25B3A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1710055</wp:posOffset>
            </wp:positionV>
            <wp:extent cx="2487263" cy="33120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63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B3A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1700530</wp:posOffset>
            </wp:positionV>
            <wp:extent cx="2487070" cy="33120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07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92F">
        <w:rPr>
          <w:rFonts w:asciiTheme="minorHAnsi" w:hAnsiTheme="minorHAnsi"/>
          <w:sz w:val="28"/>
          <w:szCs w:val="28"/>
        </w:rPr>
        <w:t>quando a CFLJ visitou a E. M. Dr. Matheus Monteiro da Silva.</w:t>
      </w:r>
    </w:p>
    <w:p w:rsidR="00161791" w:rsidRDefault="00161791" w:rsidP="00823AC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Questionamos as diretoras também sobre obras e, excetuando-se o Centro de Educação Infantil Dejanira Fonseca de Oliveira (Creche), todas foram unânimes em afirmar que não houve qualquer intervenção em alvenaria através de execução direta da Administração Municipal.</w:t>
      </w:r>
    </w:p>
    <w:p w:rsidR="006C7FD5" w:rsidRDefault="006C7FD5" w:rsidP="00823AC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 xml:space="preserve">No </w:t>
      </w:r>
      <w:r w:rsidR="00E71F25">
        <w:rPr>
          <w:rFonts w:asciiTheme="minorHAnsi" w:hAnsiTheme="minorHAnsi"/>
          <w:sz w:val="28"/>
          <w:szCs w:val="28"/>
        </w:rPr>
        <w:t>pasta</w:t>
      </w:r>
      <w:proofErr w:type="gramEnd"/>
      <w:r w:rsidR="00E71F25">
        <w:rPr>
          <w:rFonts w:asciiTheme="minorHAnsi" w:hAnsiTheme="minorHAnsi"/>
          <w:sz w:val="28"/>
          <w:szCs w:val="28"/>
        </w:rPr>
        <w:t xml:space="preserve"> 0</w:t>
      </w:r>
      <w:r w:rsidR="002E730F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 xml:space="preserve"> temos o Requerimento nº </w:t>
      </w:r>
      <w:r w:rsidR="00C4716C">
        <w:rPr>
          <w:rFonts w:asciiTheme="minorHAnsi" w:hAnsiTheme="minorHAnsi"/>
          <w:sz w:val="28"/>
          <w:szCs w:val="28"/>
        </w:rPr>
        <w:t>15/2017, de minha autoria, onde na resposta temos a “Planilha Orçamentária da Creche Municipal”, onde estão discriminados os materiais utilizados na intervenção feita para consertar os vícios na construção do prédio.</w:t>
      </w:r>
      <w:r w:rsidR="00BD4BD2">
        <w:rPr>
          <w:rFonts w:asciiTheme="minorHAnsi" w:hAnsiTheme="minorHAnsi"/>
          <w:sz w:val="28"/>
          <w:szCs w:val="28"/>
        </w:rPr>
        <w:t xml:space="preserve"> Mesmo considerando estes </w:t>
      </w:r>
      <w:r w:rsidR="00BD4BD2">
        <w:rPr>
          <w:rFonts w:asciiTheme="minorHAnsi" w:hAnsiTheme="minorHAnsi"/>
          <w:sz w:val="28"/>
          <w:szCs w:val="28"/>
        </w:rPr>
        <w:lastRenderedPageBreak/>
        <w:t>gastos, a sobra dos materiais ainda é considerável e, repito, não houve mais intervenções nas escolas.</w:t>
      </w:r>
    </w:p>
    <w:tbl>
      <w:tblPr>
        <w:tblW w:w="8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545"/>
        <w:gridCol w:w="1120"/>
        <w:gridCol w:w="1634"/>
      </w:tblGrid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D4BD2" w:rsidRPr="00BD4BD2" w:rsidRDefault="00BD4BD2" w:rsidP="00BD4B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D4BD2" w:rsidRPr="00BD4BD2" w:rsidRDefault="00BD4BD2" w:rsidP="00BD4B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Compras 2017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D4BD2" w:rsidRPr="00BD4BD2" w:rsidRDefault="00BD4BD2" w:rsidP="00BD4B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Creche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D4BD2" w:rsidRPr="00BD4BD2" w:rsidRDefault="00BD4BD2" w:rsidP="00BD4B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Diferença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Argamassa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Areia lavada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Brita nº 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Cimento 50 kg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Pó de pedra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46,5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Ferro 0,5 mm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BD4BD2" w:rsidRPr="00BD4BD2" w:rsidTr="00BD4BD2">
        <w:trPr>
          <w:trHeight w:val="300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C740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Ferro nervurado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BD4BD2" w:rsidRPr="00BD4BD2" w:rsidRDefault="00BD4BD2" w:rsidP="00BD4B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BD2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</w:tr>
    </w:tbl>
    <w:p w:rsidR="00BD4BD2" w:rsidRDefault="00BD4BD2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Depois de todas estas análises surgiram diversos questionamentos. Onde foram gastos 162 sacos de cimento? Onde foram utilizados 8 caminhões de pó de pedra? E as tintas e o material elétrico? As intervenções nas escolas foram quase nulas, não se justificando a enormidade de material adquirido ao longo do ano de 2017</w:t>
      </w:r>
      <w:r w:rsidR="00A1422C">
        <w:rPr>
          <w:rFonts w:asciiTheme="minorHAnsi" w:hAnsiTheme="minorHAnsi"/>
          <w:sz w:val="28"/>
          <w:szCs w:val="28"/>
        </w:rPr>
        <w:t>.</w:t>
      </w:r>
    </w:p>
    <w:p w:rsidR="00BD4BD2" w:rsidRDefault="00D16224" w:rsidP="00823AC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Nos demais anexos a esta representação, temos as fotos de objetos nas escolas que pela quantidade de material adquirido deveriam estar instalados ou deveriam ser novos, mas não </w:t>
      </w:r>
      <w:r w:rsidR="00C740BD">
        <w:rPr>
          <w:rFonts w:asciiTheme="minorHAnsi" w:hAnsiTheme="minorHAnsi"/>
          <w:sz w:val="28"/>
          <w:szCs w:val="28"/>
        </w:rPr>
        <w:t>foi</w:t>
      </w:r>
      <w:r>
        <w:rPr>
          <w:rFonts w:asciiTheme="minorHAnsi" w:hAnsiTheme="minorHAnsi"/>
          <w:sz w:val="28"/>
          <w:szCs w:val="28"/>
        </w:rPr>
        <w:t xml:space="preserve"> isso que observamos nas visitas. Ao longo do ano de 2017, por exemplo, foram compradas 131 torneiras. Isso é quase a totalidade das torneiras existentes nas escolas, porém, ao vermos as fotos</w:t>
      </w:r>
      <w:r w:rsidR="00C740BD">
        <w:rPr>
          <w:rFonts w:asciiTheme="minorHAnsi" w:hAnsiTheme="minorHAnsi"/>
          <w:sz w:val="28"/>
          <w:szCs w:val="28"/>
        </w:rPr>
        <w:t xml:space="preserve"> (</w:t>
      </w:r>
      <w:r w:rsidR="00AA79C2">
        <w:rPr>
          <w:rFonts w:asciiTheme="minorHAnsi" w:hAnsiTheme="minorHAnsi"/>
          <w:sz w:val="28"/>
          <w:szCs w:val="28"/>
        </w:rPr>
        <w:t>pasta 05</w:t>
      </w:r>
      <w:r w:rsidR="00C740BD"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</w:rPr>
        <w:t>, percebemos que pouquíssimas são realmente novas. Foram compradas também 16 duchas higiênicas</w:t>
      </w:r>
      <w:r w:rsidR="008C2B64">
        <w:rPr>
          <w:rFonts w:asciiTheme="minorHAnsi" w:hAnsiTheme="minorHAnsi"/>
          <w:sz w:val="28"/>
          <w:szCs w:val="28"/>
        </w:rPr>
        <w:t xml:space="preserve"> (</w:t>
      </w:r>
      <w:r w:rsidR="00AA79C2">
        <w:rPr>
          <w:rFonts w:asciiTheme="minorHAnsi" w:hAnsiTheme="minorHAnsi"/>
          <w:sz w:val="28"/>
          <w:szCs w:val="28"/>
        </w:rPr>
        <w:t>pasta</w:t>
      </w:r>
      <w:r w:rsidR="008C2B64">
        <w:rPr>
          <w:rFonts w:asciiTheme="minorHAnsi" w:hAnsiTheme="minorHAnsi"/>
          <w:sz w:val="28"/>
          <w:szCs w:val="28"/>
        </w:rPr>
        <w:t xml:space="preserve"> 0</w:t>
      </w:r>
      <w:r w:rsidR="00AA79C2">
        <w:rPr>
          <w:rFonts w:asciiTheme="minorHAnsi" w:hAnsiTheme="minorHAnsi"/>
          <w:sz w:val="28"/>
          <w:szCs w:val="28"/>
        </w:rPr>
        <w:t>6</w:t>
      </w:r>
      <w:r w:rsidR="00C740BD"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</w:rPr>
        <w:t>, mas não encontramos nem uma nova sequer instalada nos equipamentos públicos.</w:t>
      </w:r>
      <w:r w:rsidR="008C2B64">
        <w:rPr>
          <w:rFonts w:asciiTheme="minorHAnsi" w:hAnsiTheme="minorHAnsi"/>
          <w:sz w:val="28"/>
          <w:szCs w:val="28"/>
        </w:rPr>
        <w:t xml:space="preserve"> Olhando para as compras de 2018, encontramos mais 45 torneiras e </w:t>
      </w:r>
      <w:r w:rsidR="004D2FC3">
        <w:rPr>
          <w:rFonts w:asciiTheme="minorHAnsi" w:hAnsiTheme="minorHAnsi"/>
          <w:sz w:val="28"/>
          <w:szCs w:val="28"/>
        </w:rPr>
        <w:t>4 duchas higiênicas</w:t>
      </w:r>
      <w:r w:rsidR="008C2B64">
        <w:rPr>
          <w:rFonts w:asciiTheme="minorHAnsi" w:hAnsiTheme="minorHAnsi"/>
          <w:sz w:val="28"/>
          <w:szCs w:val="28"/>
        </w:rPr>
        <w:t xml:space="preserve"> compradas, o que eleva o</w:t>
      </w:r>
      <w:r w:rsidR="004D2FC3">
        <w:rPr>
          <w:rFonts w:asciiTheme="minorHAnsi" w:hAnsiTheme="minorHAnsi"/>
          <w:sz w:val="28"/>
          <w:szCs w:val="28"/>
        </w:rPr>
        <w:t>s</w:t>
      </w:r>
      <w:r w:rsidR="008C2B64">
        <w:rPr>
          <w:rFonts w:asciiTheme="minorHAnsi" w:hAnsiTheme="minorHAnsi"/>
          <w:sz w:val="28"/>
          <w:szCs w:val="28"/>
        </w:rPr>
        <w:t xml:space="preserve"> tota</w:t>
      </w:r>
      <w:r w:rsidR="004D2FC3">
        <w:rPr>
          <w:rFonts w:asciiTheme="minorHAnsi" w:hAnsiTheme="minorHAnsi"/>
          <w:sz w:val="28"/>
          <w:szCs w:val="28"/>
        </w:rPr>
        <w:t>is</w:t>
      </w:r>
      <w:r w:rsidR="008C2B64">
        <w:rPr>
          <w:rFonts w:asciiTheme="minorHAnsi" w:hAnsiTheme="minorHAnsi"/>
          <w:sz w:val="28"/>
          <w:szCs w:val="28"/>
        </w:rPr>
        <w:t xml:space="preserve"> para </w:t>
      </w:r>
      <w:r w:rsidR="004D2FC3">
        <w:rPr>
          <w:rFonts w:asciiTheme="minorHAnsi" w:hAnsiTheme="minorHAnsi"/>
          <w:sz w:val="28"/>
          <w:szCs w:val="28"/>
        </w:rPr>
        <w:t>176 torneiras e 20 duchas higiênicas, fortalecendo ainda mais as suspeitas de desvios de recursos da Educação.</w:t>
      </w:r>
    </w:p>
    <w:p w:rsidR="00D16224" w:rsidRDefault="00515665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E a quantidade de ferragens? Duzentas e </w:t>
      </w:r>
      <w:proofErr w:type="spellStart"/>
      <w:r>
        <w:rPr>
          <w:rFonts w:asciiTheme="minorHAnsi" w:hAnsiTheme="minorHAnsi"/>
          <w:sz w:val="28"/>
          <w:szCs w:val="28"/>
        </w:rPr>
        <w:t>cinqüenta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="00C740BD">
        <w:rPr>
          <w:rFonts w:asciiTheme="minorHAnsi" w:hAnsiTheme="minorHAnsi"/>
          <w:sz w:val="28"/>
          <w:szCs w:val="28"/>
        </w:rPr>
        <w:t>e seis varas de ferro nervurado</w:t>
      </w:r>
      <w:r>
        <w:rPr>
          <w:rFonts w:asciiTheme="minorHAnsi" w:hAnsiTheme="minorHAnsi"/>
          <w:sz w:val="28"/>
          <w:szCs w:val="28"/>
        </w:rPr>
        <w:t xml:space="preserve"> com doze metros cada uma. Estamos falando de mais de três mil</w:t>
      </w:r>
      <w:r w:rsidR="00C740BD">
        <w:rPr>
          <w:rFonts w:asciiTheme="minorHAnsi" w:hAnsiTheme="minorHAnsi"/>
          <w:sz w:val="28"/>
          <w:szCs w:val="28"/>
        </w:rPr>
        <w:t xml:space="preserve"> metros corridos de ferragem para construção.</w:t>
      </w:r>
    </w:p>
    <w:p w:rsidR="00515665" w:rsidRDefault="00515665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Feitas as visitas e reforçadas as suspeitas de utilização indevida de materiais adquiridos com recursos da Educação, convidamos a Secretária Sônia Mattos para uma conversa na CFLJ sobre este assunto. </w:t>
      </w:r>
      <w:r w:rsidR="008A543B">
        <w:rPr>
          <w:rFonts w:asciiTheme="minorHAnsi" w:hAnsiTheme="minorHAnsi"/>
          <w:sz w:val="28"/>
          <w:szCs w:val="28"/>
        </w:rPr>
        <w:t xml:space="preserve">Nesta conversa, a Secretária disse não ter qualquer responsabilidade sobre </w:t>
      </w:r>
      <w:r w:rsidR="00E463D7">
        <w:rPr>
          <w:rFonts w:asciiTheme="minorHAnsi" w:hAnsiTheme="minorHAnsi"/>
          <w:sz w:val="28"/>
          <w:szCs w:val="28"/>
        </w:rPr>
        <w:t>as compras destes materiais. Segundo ela, ao tomar posse no cargo, teria acordado com o Prefeito que não se envolver</w:t>
      </w:r>
      <w:r w:rsidR="00AB3041">
        <w:rPr>
          <w:rFonts w:asciiTheme="minorHAnsi" w:hAnsiTheme="minorHAnsi"/>
          <w:sz w:val="28"/>
          <w:szCs w:val="28"/>
        </w:rPr>
        <w:t>ia</w:t>
      </w:r>
      <w:r w:rsidR="00E463D7">
        <w:rPr>
          <w:rFonts w:asciiTheme="minorHAnsi" w:hAnsiTheme="minorHAnsi"/>
          <w:sz w:val="28"/>
          <w:szCs w:val="28"/>
        </w:rPr>
        <w:t xml:space="preserve"> com a aquisição de materiais de construção e que este encargo caberia ao Secretári</w:t>
      </w:r>
      <w:r w:rsidR="00AB3041">
        <w:rPr>
          <w:rFonts w:asciiTheme="minorHAnsi" w:hAnsiTheme="minorHAnsi"/>
          <w:sz w:val="28"/>
          <w:szCs w:val="28"/>
        </w:rPr>
        <w:t xml:space="preserve">o de Obras, Luiz Fernando Souza, porém, </w:t>
      </w:r>
      <w:r w:rsidR="00AF7402">
        <w:rPr>
          <w:rFonts w:asciiTheme="minorHAnsi" w:hAnsiTheme="minorHAnsi"/>
          <w:sz w:val="28"/>
          <w:szCs w:val="28"/>
        </w:rPr>
        <w:t xml:space="preserve">ela </w:t>
      </w:r>
      <w:r w:rsidR="00AB3041">
        <w:rPr>
          <w:rFonts w:asciiTheme="minorHAnsi" w:hAnsiTheme="minorHAnsi"/>
          <w:sz w:val="28"/>
          <w:szCs w:val="28"/>
        </w:rPr>
        <w:t>continua liquidando os empenhos atestando o recebimento dos materiais.</w:t>
      </w:r>
    </w:p>
    <w:p w:rsidR="00A3693C" w:rsidRDefault="00DF0595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Chamamos então o Secretário de Obras para uma conversa na CFLJ e, nesta oportunidade, diversos dos questionamentos colocados acima foram direcionados ao Secretário. </w:t>
      </w:r>
      <w:r w:rsidR="008124CC">
        <w:rPr>
          <w:rFonts w:asciiTheme="minorHAnsi" w:hAnsiTheme="minorHAnsi"/>
          <w:sz w:val="28"/>
          <w:szCs w:val="28"/>
        </w:rPr>
        <w:t>Como de hábito, o Secretário tergiversou</w:t>
      </w:r>
      <w:r w:rsidR="00A3693C">
        <w:rPr>
          <w:rFonts w:asciiTheme="minorHAnsi" w:hAnsiTheme="minorHAnsi"/>
          <w:sz w:val="28"/>
          <w:szCs w:val="28"/>
        </w:rPr>
        <w:t>, não respondendo a contento e com clareza as dúvidas dos vereadores. Ao final solicitou que as perguntas lhe fossem enviadas por escrito e fosse dado um prazo para que respondesse os questionamentos. O Presidente da Comissão acatou seu pedido e oficiou o mesmo no dia seguinte à reunião, porém, mais uma vez, o Secre</w:t>
      </w:r>
      <w:r w:rsidR="00473643">
        <w:rPr>
          <w:rFonts w:asciiTheme="minorHAnsi" w:hAnsiTheme="minorHAnsi"/>
          <w:sz w:val="28"/>
          <w:szCs w:val="28"/>
        </w:rPr>
        <w:t>tário não esclareceu as dúvidas</w:t>
      </w:r>
      <w:r w:rsidR="00AF7402">
        <w:rPr>
          <w:rFonts w:asciiTheme="minorHAnsi" w:hAnsiTheme="minorHAnsi"/>
          <w:sz w:val="28"/>
          <w:szCs w:val="28"/>
        </w:rPr>
        <w:t xml:space="preserve"> (</w:t>
      </w:r>
      <w:r w:rsidR="00AA79C2">
        <w:rPr>
          <w:rFonts w:asciiTheme="minorHAnsi" w:hAnsiTheme="minorHAnsi"/>
          <w:sz w:val="28"/>
          <w:szCs w:val="28"/>
        </w:rPr>
        <w:t>pasta 07</w:t>
      </w:r>
      <w:r w:rsidR="00AF7402">
        <w:rPr>
          <w:rFonts w:asciiTheme="minorHAnsi" w:hAnsiTheme="minorHAnsi"/>
          <w:sz w:val="28"/>
          <w:szCs w:val="28"/>
        </w:rPr>
        <w:t>)</w:t>
      </w:r>
      <w:r w:rsidR="00473643">
        <w:rPr>
          <w:rFonts w:asciiTheme="minorHAnsi" w:hAnsiTheme="minorHAnsi"/>
          <w:sz w:val="28"/>
          <w:szCs w:val="28"/>
        </w:rPr>
        <w:t>.</w:t>
      </w:r>
    </w:p>
    <w:p w:rsidR="0004199E" w:rsidRDefault="0004199E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Ainda fazendo levantamentos sobre o caso, solicitei </w:t>
      </w:r>
      <w:r w:rsidR="00474780">
        <w:rPr>
          <w:rFonts w:asciiTheme="minorHAnsi" w:hAnsiTheme="minorHAnsi"/>
          <w:sz w:val="28"/>
          <w:szCs w:val="28"/>
        </w:rPr>
        <w:t xml:space="preserve">através do Requerimento nº 60, de 09/07/2018, </w:t>
      </w:r>
      <w:r>
        <w:rPr>
          <w:rFonts w:asciiTheme="minorHAnsi" w:hAnsiTheme="minorHAnsi"/>
          <w:sz w:val="28"/>
          <w:szCs w:val="28"/>
        </w:rPr>
        <w:t xml:space="preserve">a discriminação dos materiais em </w:t>
      </w:r>
      <w:r>
        <w:rPr>
          <w:rFonts w:asciiTheme="minorHAnsi" w:hAnsiTheme="minorHAnsi"/>
          <w:sz w:val="28"/>
          <w:szCs w:val="28"/>
        </w:rPr>
        <w:lastRenderedPageBreak/>
        <w:t>estoque na Secretaria de Obras ao final do exercício de 2017. Mais uma vez foi encaminhada uma resposta de difícil compreensão</w:t>
      </w:r>
      <w:r w:rsidR="008572DC">
        <w:rPr>
          <w:rFonts w:asciiTheme="minorHAnsi" w:hAnsiTheme="minorHAnsi"/>
          <w:sz w:val="28"/>
          <w:szCs w:val="28"/>
        </w:rPr>
        <w:t xml:space="preserve">, não sendo </w:t>
      </w:r>
      <w:bookmarkStart w:id="0" w:name="_GoBack"/>
      <w:r w:rsidR="008572DC">
        <w:rPr>
          <w:rFonts w:asciiTheme="minorHAnsi" w:hAnsiTheme="minorHAnsi"/>
          <w:sz w:val="28"/>
          <w:szCs w:val="28"/>
        </w:rPr>
        <w:t xml:space="preserve">possível, pela forma </w:t>
      </w:r>
      <w:r w:rsidR="00474780">
        <w:rPr>
          <w:rFonts w:asciiTheme="minorHAnsi" w:hAnsiTheme="minorHAnsi"/>
          <w:sz w:val="28"/>
          <w:szCs w:val="28"/>
        </w:rPr>
        <w:t>como</w:t>
      </w:r>
      <w:r w:rsidR="008572DC">
        <w:rPr>
          <w:rFonts w:asciiTheme="minorHAnsi" w:hAnsiTheme="minorHAnsi"/>
          <w:sz w:val="28"/>
          <w:szCs w:val="28"/>
        </w:rPr>
        <w:t xml:space="preserve"> foi formatada, compreender exatamente o que aqueles dados queriam dizer. </w:t>
      </w:r>
      <w:r w:rsidR="00D33A17">
        <w:rPr>
          <w:rFonts w:asciiTheme="minorHAnsi" w:hAnsiTheme="minorHAnsi"/>
          <w:sz w:val="28"/>
          <w:szCs w:val="28"/>
        </w:rPr>
        <w:t xml:space="preserve">Solicitei à Presidência que </w:t>
      </w:r>
      <w:r w:rsidR="00474780">
        <w:rPr>
          <w:rFonts w:asciiTheme="minorHAnsi" w:hAnsiTheme="minorHAnsi"/>
          <w:sz w:val="28"/>
          <w:szCs w:val="28"/>
        </w:rPr>
        <w:t xml:space="preserve">cobrasse </w:t>
      </w:r>
      <w:r w:rsidR="00D33A17">
        <w:rPr>
          <w:rFonts w:asciiTheme="minorHAnsi" w:hAnsiTheme="minorHAnsi"/>
          <w:sz w:val="28"/>
          <w:szCs w:val="28"/>
        </w:rPr>
        <w:t xml:space="preserve">explicações, o que foi feito através do ofício nº </w:t>
      </w:r>
      <w:r w:rsidR="00F8463A">
        <w:rPr>
          <w:rFonts w:asciiTheme="minorHAnsi" w:hAnsiTheme="minorHAnsi"/>
          <w:sz w:val="28"/>
          <w:szCs w:val="28"/>
        </w:rPr>
        <w:t>131, de 06/08/2018, porém, não houve nenhuma resposta até o presente momento</w:t>
      </w:r>
      <w:r w:rsidR="008C2B64">
        <w:rPr>
          <w:rFonts w:asciiTheme="minorHAnsi" w:hAnsiTheme="minorHAnsi"/>
          <w:sz w:val="28"/>
          <w:szCs w:val="28"/>
        </w:rPr>
        <w:t xml:space="preserve"> (</w:t>
      </w:r>
      <w:r w:rsidR="00AA79C2">
        <w:rPr>
          <w:rFonts w:asciiTheme="minorHAnsi" w:hAnsiTheme="minorHAnsi"/>
          <w:sz w:val="28"/>
          <w:szCs w:val="28"/>
        </w:rPr>
        <w:t>pasta 08</w:t>
      </w:r>
      <w:r w:rsidR="004520FC">
        <w:rPr>
          <w:rFonts w:asciiTheme="minorHAnsi" w:hAnsiTheme="minorHAnsi"/>
          <w:sz w:val="28"/>
          <w:szCs w:val="28"/>
        </w:rPr>
        <w:t>)</w:t>
      </w:r>
      <w:r w:rsidR="00F8463A">
        <w:rPr>
          <w:rFonts w:asciiTheme="minorHAnsi" w:hAnsiTheme="minorHAnsi"/>
          <w:sz w:val="28"/>
          <w:szCs w:val="28"/>
        </w:rPr>
        <w:t>.</w:t>
      </w:r>
    </w:p>
    <w:p w:rsidR="0057263F" w:rsidRDefault="0057263F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Além de tudo já relatado, diversos outros itens adquiridos chamaram a atenção sobre a regularidade das ações, por exemplo, as compras</w:t>
      </w:r>
      <w:r w:rsidR="002610C7">
        <w:rPr>
          <w:rFonts w:asciiTheme="minorHAnsi" w:hAnsiTheme="minorHAnsi"/>
          <w:sz w:val="28"/>
          <w:szCs w:val="28"/>
        </w:rPr>
        <w:t xml:space="preserve"> de ferramentas tais como, carrinho de mão, picareta, enxada, cavadeira, brocas, </w:t>
      </w:r>
      <w:r w:rsidR="004F3C2B">
        <w:rPr>
          <w:rFonts w:asciiTheme="minorHAnsi" w:hAnsiTheme="minorHAnsi"/>
          <w:sz w:val="28"/>
          <w:szCs w:val="28"/>
        </w:rPr>
        <w:t xml:space="preserve">lápis de carpintaria, espuma de pedreiro, </w:t>
      </w:r>
      <w:r w:rsidR="002610C7">
        <w:rPr>
          <w:rFonts w:asciiTheme="minorHAnsi" w:hAnsiTheme="minorHAnsi"/>
          <w:sz w:val="28"/>
          <w:szCs w:val="28"/>
        </w:rPr>
        <w:t>entre outras.</w:t>
      </w:r>
    </w:p>
    <w:p w:rsidR="00AF75F8" w:rsidRDefault="00AF75F8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É necessária também uma avaliação na diferença detectada nos preços de alguns itens que variaram absurdamente dentro do mesmo exercício. </w:t>
      </w:r>
      <w:r w:rsidR="00BC6AF1">
        <w:rPr>
          <w:rFonts w:asciiTheme="minorHAnsi" w:hAnsiTheme="minorHAnsi"/>
          <w:sz w:val="28"/>
          <w:szCs w:val="28"/>
        </w:rPr>
        <w:t>A</w:t>
      </w:r>
      <w:r>
        <w:rPr>
          <w:rFonts w:asciiTheme="minorHAnsi" w:hAnsiTheme="minorHAnsi"/>
          <w:sz w:val="28"/>
          <w:szCs w:val="28"/>
        </w:rPr>
        <w:t xml:space="preserve">lguns produtos chegam a ter diferença de preços de cerca de </w:t>
      </w:r>
      <w:r w:rsidR="00BC6AF1">
        <w:rPr>
          <w:rFonts w:asciiTheme="minorHAnsi" w:hAnsiTheme="minorHAnsi"/>
          <w:sz w:val="28"/>
          <w:szCs w:val="28"/>
        </w:rPr>
        <w:t>1</w:t>
      </w:r>
      <w:r>
        <w:rPr>
          <w:rFonts w:asciiTheme="minorHAnsi" w:hAnsiTheme="minorHAnsi"/>
          <w:sz w:val="28"/>
          <w:szCs w:val="28"/>
        </w:rPr>
        <w:t>00% (</w:t>
      </w:r>
      <w:r w:rsidR="00BC6AF1">
        <w:rPr>
          <w:rFonts w:asciiTheme="minorHAnsi" w:hAnsiTheme="minorHAnsi"/>
          <w:sz w:val="28"/>
          <w:szCs w:val="28"/>
        </w:rPr>
        <w:t>cem por cento</w:t>
      </w:r>
      <w:r>
        <w:rPr>
          <w:rFonts w:asciiTheme="minorHAnsi" w:hAnsiTheme="minorHAnsi"/>
          <w:sz w:val="28"/>
          <w:szCs w:val="28"/>
        </w:rPr>
        <w:t>) entre um exercício e outro e até mesmo dentro do mesmo exercício, como podemos ver nos resumos abaixo:</w:t>
      </w: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844"/>
        <w:gridCol w:w="778"/>
        <w:gridCol w:w="844"/>
        <w:gridCol w:w="778"/>
        <w:gridCol w:w="1080"/>
      </w:tblGrid>
      <w:tr w:rsidR="00931165" w:rsidRPr="00931165" w:rsidTr="00931165">
        <w:trPr>
          <w:trHeight w:val="300"/>
          <w:jc w:val="center"/>
        </w:trPr>
        <w:tc>
          <w:tcPr>
            <w:tcW w:w="7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Comparativo 2017 - 2018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Diferença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(%)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Disco de corte 12"x1/8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21,80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-98%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Massa corrida 18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81,90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-66%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Tinta acrílica premium 18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-47%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Tinta acrílica standard 3,6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-75%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Tinta esmalte premium 0,9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-42%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Verniz marítimo premium 3,6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92,30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-53%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Areia lavada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+17%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Lâmp</w:t>
            </w:r>
            <w:proofErr w:type="spellEnd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halógena</w:t>
            </w:r>
            <w:proofErr w:type="spellEnd"/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w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-109%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Chapa ondulada 18 mm 2x1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140,20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-55%</w:t>
            </w:r>
          </w:p>
        </w:tc>
      </w:tr>
      <w:tr w:rsidR="00931165" w:rsidRPr="00931165" w:rsidTr="00931165">
        <w:trPr>
          <w:trHeight w:val="30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Chapa preta 18 x 2 x 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150,33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1165" w:rsidRPr="00931165" w:rsidRDefault="00931165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1165">
              <w:rPr>
                <w:rFonts w:ascii="Calibri" w:hAnsi="Calibri" w:cs="Calibri"/>
                <w:color w:val="000000"/>
                <w:sz w:val="22"/>
                <w:szCs w:val="22"/>
              </w:rPr>
              <w:t>-50%</w:t>
            </w:r>
          </w:p>
        </w:tc>
      </w:tr>
    </w:tbl>
    <w:p w:rsidR="00AF75F8" w:rsidRDefault="00AF75F8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A25B3A" w:rsidRDefault="00A25B3A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tbl>
      <w:tblPr>
        <w:tblW w:w="8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850"/>
        <w:gridCol w:w="918"/>
        <w:gridCol w:w="996"/>
        <w:gridCol w:w="918"/>
        <w:gridCol w:w="1275"/>
      </w:tblGrid>
      <w:tr w:rsidR="00BC6AF1" w:rsidRPr="00BC6AF1" w:rsidTr="00BC6AF1">
        <w:trPr>
          <w:trHeight w:val="300"/>
          <w:jc w:val="center"/>
        </w:trPr>
        <w:tc>
          <w:tcPr>
            <w:tcW w:w="8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Comparativo dentro do exercício 2018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Descrição dos produtos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Qtdade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Diferença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Lixa p/ massa 100 a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-90%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Massa corrida 3,6 </w:t>
            </w: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29,90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-66%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Resina base </w:t>
            </w: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dágua</w:t>
            </w:r>
            <w:proofErr w:type="spellEnd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 </w:t>
            </w: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259,90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-116%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Tinta acrílica econômica 18 </w:t>
            </w: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95,50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-35%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Zarcão laranja 3,6 </w:t>
            </w:r>
            <w:proofErr w:type="spellStart"/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-110%</w:t>
            </w:r>
          </w:p>
        </w:tc>
      </w:tr>
      <w:tr w:rsidR="00BC6AF1" w:rsidRPr="00BC6AF1" w:rsidTr="00BC6AF1">
        <w:trPr>
          <w:trHeight w:val="30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Torneira plástica p/ lavatório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BC6AF1" w:rsidRPr="00BC6AF1" w:rsidRDefault="00BC6AF1" w:rsidP="00A25B3A">
            <w:pPr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AF1">
              <w:rPr>
                <w:rFonts w:ascii="Calibri" w:hAnsi="Calibri" w:cs="Calibri"/>
                <w:color w:val="000000"/>
                <w:sz w:val="22"/>
                <w:szCs w:val="22"/>
              </w:rPr>
              <w:t>-92%</w:t>
            </w:r>
          </w:p>
        </w:tc>
      </w:tr>
    </w:tbl>
    <w:p w:rsidR="00931165" w:rsidRDefault="00931165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473643" w:rsidRDefault="00565942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Diante de tantas </w:t>
      </w:r>
      <w:r w:rsidR="00586000">
        <w:rPr>
          <w:rFonts w:asciiTheme="minorHAnsi" w:hAnsiTheme="minorHAnsi"/>
          <w:sz w:val="28"/>
          <w:szCs w:val="28"/>
        </w:rPr>
        <w:t>interrogações</w:t>
      </w:r>
      <w:r>
        <w:rPr>
          <w:rFonts w:asciiTheme="minorHAnsi" w:hAnsiTheme="minorHAnsi"/>
          <w:sz w:val="28"/>
          <w:szCs w:val="28"/>
        </w:rPr>
        <w:t xml:space="preserve"> e da falta de vontade de esclarecê-las pela Administração Municipal, optei por apresentar esta representação, para que o Tribunal de Contas do Estado de Minas Gerais seja notificado oficialmente</w:t>
      </w:r>
      <w:r w:rsidR="00A72BA5">
        <w:rPr>
          <w:rFonts w:asciiTheme="minorHAnsi" w:hAnsiTheme="minorHAnsi"/>
          <w:sz w:val="28"/>
          <w:szCs w:val="28"/>
        </w:rPr>
        <w:t xml:space="preserve"> por esta Casa Legislativa e adote medidas urgentes para, como órgão auxiliar do Poder Legislativo, apurar as inconsistências aqui levantadas.</w:t>
      </w:r>
    </w:p>
    <w:p w:rsidR="00863050" w:rsidRDefault="00A72BA5" w:rsidP="00A25B3A">
      <w:pPr>
        <w:spacing w:after="24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Para finalizar, ressalto que o não preenchimento correto do Portal </w:t>
      </w:r>
      <w:proofErr w:type="spellStart"/>
      <w:r>
        <w:rPr>
          <w:rFonts w:asciiTheme="minorHAnsi" w:hAnsiTheme="minorHAnsi"/>
          <w:sz w:val="28"/>
          <w:szCs w:val="28"/>
        </w:rPr>
        <w:t>GeoObras</w:t>
      </w:r>
      <w:proofErr w:type="spellEnd"/>
      <w:r>
        <w:rPr>
          <w:rFonts w:asciiTheme="minorHAnsi" w:hAnsiTheme="minorHAnsi"/>
          <w:sz w:val="28"/>
          <w:szCs w:val="28"/>
        </w:rPr>
        <w:t xml:space="preserve"> pelo Poder Executivo, fato já comunicado ao TCE/MG através dos ofícios n°</w:t>
      </w:r>
      <w:r w:rsidR="00863050">
        <w:rPr>
          <w:rFonts w:asciiTheme="minorHAnsi" w:hAnsiTheme="minorHAnsi"/>
          <w:sz w:val="28"/>
          <w:szCs w:val="28"/>
        </w:rPr>
        <w:t xml:space="preserve"> </w:t>
      </w:r>
      <w:r w:rsidR="00F755E0">
        <w:rPr>
          <w:rFonts w:asciiTheme="minorHAnsi" w:hAnsiTheme="minorHAnsi"/>
          <w:sz w:val="28"/>
          <w:szCs w:val="28"/>
        </w:rPr>
        <w:t xml:space="preserve">320/2017 e 97/2018 através da Presidência desta Casa Legislativa após aprovação dos Requerimentos nº 120/2017 e 55/2018 devidamente recebidos neste Tribunal </w:t>
      </w:r>
      <w:r w:rsidR="00863050">
        <w:rPr>
          <w:rFonts w:asciiTheme="minorHAnsi" w:hAnsiTheme="minorHAnsi"/>
          <w:sz w:val="28"/>
          <w:szCs w:val="28"/>
        </w:rPr>
        <w:t xml:space="preserve">em </w:t>
      </w:r>
      <w:r w:rsidR="00F755E0">
        <w:rPr>
          <w:rFonts w:asciiTheme="minorHAnsi" w:hAnsiTheme="minorHAnsi"/>
          <w:sz w:val="28"/>
          <w:szCs w:val="28"/>
        </w:rPr>
        <w:t>11/12/2017 e 20/06/2018</w:t>
      </w:r>
      <w:r w:rsidR="00863050">
        <w:rPr>
          <w:rFonts w:asciiTheme="minorHAnsi" w:hAnsiTheme="minorHAnsi"/>
          <w:sz w:val="28"/>
          <w:szCs w:val="28"/>
        </w:rPr>
        <w:t xml:space="preserve"> </w:t>
      </w:r>
      <w:r w:rsidR="003B3BD4">
        <w:rPr>
          <w:rFonts w:asciiTheme="minorHAnsi" w:hAnsiTheme="minorHAnsi"/>
          <w:sz w:val="28"/>
          <w:szCs w:val="28"/>
        </w:rPr>
        <w:t xml:space="preserve"> </w:t>
      </w:r>
      <w:r w:rsidR="00863050">
        <w:rPr>
          <w:rFonts w:asciiTheme="minorHAnsi" w:hAnsiTheme="minorHAnsi"/>
          <w:sz w:val="28"/>
          <w:szCs w:val="28"/>
        </w:rPr>
        <w:t>respectivamente</w:t>
      </w:r>
      <w:r w:rsidR="00F755E0">
        <w:rPr>
          <w:rFonts w:asciiTheme="minorHAnsi" w:hAnsiTheme="minorHAnsi"/>
          <w:sz w:val="28"/>
          <w:szCs w:val="28"/>
        </w:rPr>
        <w:t xml:space="preserve"> (</w:t>
      </w:r>
      <w:r w:rsidR="00AA79C2">
        <w:rPr>
          <w:rFonts w:asciiTheme="minorHAnsi" w:hAnsiTheme="minorHAnsi"/>
          <w:sz w:val="28"/>
          <w:szCs w:val="28"/>
        </w:rPr>
        <w:t>pasta</w:t>
      </w:r>
      <w:r w:rsidR="00F755E0">
        <w:rPr>
          <w:rFonts w:asciiTheme="minorHAnsi" w:hAnsiTheme="minorHAnsi"/>
          <w:sz w:val="28"/>
          <w:szCs w:val="28"/>
        </w:rPr>
        <w:t xml:space="preserve"> </w:t>
      </w:r>
      <w:r w:rsidR="00AF75F8">
        <w:rPr>
          <w:rFonts w:asciiTheme="minorHAnsi" w:hAnsiTheme="minorHAnsi"/>
          <w:sz w:val="28"/>
          <w:szCs w:val="28"/>
        </w:rPr>
        <w:t>10</w:t>
      </w:r>
      <w:r w:rsidR="00F755E0">
        <w:rPr>
          <w:rFonts w:asciiTheme="minorHAnsi" w:hAnsiTheme="minorHAnsi"/>
          <w:sz w:val="28"/>
          <w:szCs w:val="28"/>
        </w:rPr>
        <w:t>)</w:t>
      </w:r>
      <w:r w:rsidR="00863050">
        <w:rPr>
          <w:rFonts w:asciiTheme="minorHAnsi" w:hAnsiTheme="minorHAnsi"/>
          <w:sz w:val="28"/>
          <w:szCs w:val="28"/>
        </w:rPr>
        <w:t xml:space="preserve">, </w:t>
      </w:r>
      <w:bookmarkEnd w:id="0"/>
      <w:r w:rsidR="00863050">
        <w:rPr>
          <w:rFonts w:asciiTheme="minorHAnsi" w:hAnsiTheme="minorHAnsi"/>
          <w:sz w:val="28"/>
          <w:szCs w:val="28"/>
        </w:rPr>
        <w:t>dificulta enormemente o trabalho de fiscalização dos gastos em obras pela Administração, sendo mais um dos motivos que geram a necessidade de realização de auditoria no Município.</w:t>
      </w:r>
    </w:p>
    <w:p w:rsidR="00DB4866" w:rsidRDefault="00021BE4" w:rsidP="00863050">
      <w:pPr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Sendo o que cabia justificar em relação a este pedido, solicito aprovação da matéria c</w:t>
      </w:r>
      <w:r w:rsidR="00B31434">
        <w:rPr>
          <w:rFonts w:asciiTheme="minorHAnsi" w:hAnsiTheme="minorHAnsi"/>
          <w:sz w:val="28"/>
          <w:szCs w:val="28"/>
        </w:rPr>
        <w:t>ontando com o apoio dos pares.</w:t>
      </w:r>
    </w:p>
    <w:p w:rsidR="00DB4866" w:rsidRDefault="00B31434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021BE4">
        <w:rPr>
          <w:rFonts w:asciiTheme="minorHAnsi" w:hAnsiTheme="minorHAnsi"/>
          <w:sz w:val="28"/>
          <w:szCs w:val="28"/>
        </w:rPr>
        <w:t>27</w:t>
      </w:r>
      <w:r>
        <w:rPr>
          <w:rFonts w:asciiTheme="minorHAnsi" w:hAnsiTheme="minorHAnsi"/>
          <w:sz w:val="28"/>
          <w:szCs w:val="28"/>
        </w:rPr>
        <w:t xml:space="preserve"> de agosto de 2018.</w:t>
      </w:r>
    </w:p>
    <w:p w:rsidR="00DB4866" w:rsidRDefault="00DB4866">
      <w:pPr>
        <w:ind w:firstLine="708"/>
        <w:rPr>
          <w:rFonts w:asciiTheme="minorHAnsi" w:hAnsiTheme="minorHAnsi"/>
          <w:sz w:val="28"/>
          <w:szCs w:val="28"/>
        </w:rPr>
      </w:pP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DB4866" w:rsidRDefault="00021BE4">
      <w:pPr>
        <w:jc w:val="center"/>
      </w:pPr>
      <w:r>
        <w:rPr>
          <w:rFonts w:asciiTheme="minorHAnsi" w:hAnsiTheme="minorHAnsi"/>
          <w:sz w:val="28"/>
          <w:szCs w:val="28"/>
        </w:rPr>
        <w:t>Aloysio Barbosa Loro Borges</w:t>
      </w:r>
    </w:p>
    <w:p w:rsidR="00DB4866" w:rsidRDefault="00B31434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DB4866" w:rsidSect="0076497C">
      <w:headerReference w:type="default" r:id="rId8"/>
      <w:footerReference w:type="default" r:id="rId9"/>
      <w:pgSz w:w="11906" w:h="16838"/>
      <w:pgMar w:top="2835" w:right="1701" w:bottom="1418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53A" w:rsidRDefault="0069753A">
      <w:r>
        <w:separator/>
      </w:r>
    </w:p>
  </w:endnote>
  <w:endnote w:type="continuationSeparator" w:id="0">
    <w:p w:rsidR="0069753A" w:rsidRDefault="0069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66" w:rsidRDefault="00A07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53A" w:rsidRDefault="0069753A">
      <w:r>
        <w:separator/>
      </w:r>
    </w:p>
  </w:footnote>
  <w:footnote w:type="continuationSeparator" w:id="0">
    <w:p w:rsidR="0069753A" w:rsidRDefault="0069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66" w:rsidRDefault="00A07266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266" w:rsidRDefault="00A07266">
    <w:pPr>
      <w:pStyle w:val="Cabealho"/>
      <w:ind w:left="1560"/>
      <w:rPr>
        <w:sz w:val="32"/>
        <w:szCs w:val="32"/>
      </w:rPr>
    </w:pPr>
  </w:p>
  <w:p w:rsidR="00A07266" w:rsidRDefault="00A07266">
    <w:pPr>
      <w:pStyle w:val="Cabealho"/>
      <w:ind w:left="1560"/>
      <w:rPr>
        <w:sz w:val="32"/>
        <w:szCs w:val="32"/>
      </w:rPr>
    </w:pPr>
  </w:p>
  <w:p w:rsidR="00A07266" w:rsidRDefault="00A07266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A07266" w:rsidRDefault="00A07266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07266" w:rsidRDefault="00A0726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66"/>
    <w:rsid w:val="00021BE4"/>
    <w:rsid w:val="00022366"/>
    <w:rsid w:val="0004199E"/>
    <w:rsid w:val="000435C4"/>
    <w:rsid w:val="0005030C"/>
    <w:rsid w:val="000760AF"/>
    <w:rsid w:val="00161791"/>
    <w:rsid w:val="00166E93"/>
    <w:rsid w:val="00226076"/>
    <w:rsid w:val="002610C7"/>
    <w:rsid w:val="002B792F"/>
    <w:rsid w:val="002E730F"/>
    <w:rsid w:val="00316E26"/>
    <w:rsid w:val="00365AB8"/>
    <w:rsid w:val="00366CD9"/>
    <w:rsid w:val="00395C8C"/>
    <w:rsid w:val="003975CD"/>
    <w:rsid w:val="003B3BD4"/>
    <w:rsid w:val="003D1E20"/>
    <w:rsid w:val="003F576B"/>
    <w:rsid w:val="00413CF5"/>
    <w:rsid w:val="004349E8"/>
    <w:rsid w:val="00446629"/>
    <w:rsid w:val="004520FC"/>
    <w:rsid w:val="00473643"/>
    <w:rsid w:val="00474780"/>
    <w:rsid w:val="004D2FC3"/>
    <w:rsid w:val="004F3C2B"/>
    <w:rsid w:val="00515665"/>
    <w:rsid w:val="00565942"/>
    <w:rsid w:val="0057263F"/>
    <w:rsid w:val="00586000"/>
    <w:rsid w:val="005C756F"/>
    <w:rsid w:val="0068570F"/>
    <w:rsid w:val="00697170"/>
    <w:rsid w:val="0069753A"/>
    <w:rsid w:val="006C7FD5"/>
    <w:rsid w:val="006F1D11"/>
    <w:rsid w:val="0076497C"/>
    <w:rsid w:val="007862B0"/>
    <w:rsid w:val="00793B15"/>
    <w:rsid w:val="0081161F"/>
    <w:rsid w:val="008124CC"/>
    <w:rsid w:val="00823AC2"/>
    <w:rsid w:val="008572DC"/>
    <w:rsid w:val="00863050"/>
    <w:rsid w:val="008A543B"/>
    <w:rsid w:val="008C2B64"/>
    <w:rsid w:val="008E4367"/>
    <w:rsid w:val="008F0D2A"/>
    <w:rsid w:val="008F5625"/>
    <w:rsid w:val="009037DC"/>
    <w:rsid w:val="00931165"/>
    <w:rsid w:val="009F5D7F"/>
    <w:rsid w:val="00A07266"/>
    <w:rsid w:val="00A1422C"/>
    <w:rsid w:val="00A1453F"/>
    <w:rsid w:val="00A25B3A"/>
    <w:rsid w:val="00A3693C"/>
    <w:rsid w:val="00A546FB"/>
    <w:rsid w:val="00A72BA5"/>
    <w:rsid w:val="00AA79C2"/>
    <w:rsid w:val="00AB3041"/>
    <w:rsid w:val="00AF7402"/>
    <w:rsid w:val="00AF75F8"/>
    <w:rsid w:val="00B31434"/>
    <w:rsid w:val="00BA24F8"/>
    <w:rsid w:val="00BC6AF1"/>
    <w:rsid w:val="00BD4BD2"/>
    <w:rsid w:val="00C066FA"/>
    <w:rsid w:val="00C4716C"/>
    <w:rsid w:val="00C740BD"/>
    <w:rsid w:val="00D16224"/>
    <w:rsid w:val="00D24151"/>
    <w:rsid w:val="00D33A17"/>
    <w:rsid w:val="00D73AFC"/>
    <w:rsid w:val="00DA0838"/>
    <w:rsid w:val="00DB4866"/>
    <w:rsid w:val="00DD25A3"/>
    <w:rsid w:val="00DF0595"/>
    <w:rsid w:val="00DF05E4"/>
    <w:rsid w:val="00DF2C64"/>
    <w:rsid w:val="00E20929"/>
    <w:rsid w:val="00E27F06"/>
    <w:rsid w:val="00E463D7"/>
    <w:rsid w:val="00E71DE1"/>
    <w:rsid w:val="00E71F25"/>
    <w:rsid w:val="00EA084C"/>
    <w:rsid w:val="00EE7FEF"/>
    <w:rsid w:val="00EF41FA"/>
    <w:rsid w:val="00EF6294"/>
    <w:rsid w:val="00F028BB"/>
    <w:rsid w:val="00F25FF9"/>
    <w:rsid w:val="00F755E0"/>
    <w:rsid w:val="00F8463A"/>
    <w:rsid w:val="00FD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FEDF"/>
  <w15:docId w15:val="{6BB01A3C-BADD-41E4-8F4E-059B44B3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0503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5030C"/>
    <w:pPr>
      <w:spacing w:after="140" w:line="288" w:lineRule="auto"/>
    </w:pPr>
  </w:style>
  <w:style w:type="paragraph" w:styleId="Lista">
    <w:name w:val="List"/>
    <w:basedOn w:val="Corpodetexto"/>
    <w:rsid w:val="0005030C"/>
    <w:rPr>
      <w:rFonts w:cs="Arial"/>
    </w:rPr>
  </w:style>
  <w:style w:type="paragraph" w:styleId="Legenda">
    <w:name w:val="caption"/>
    <w:basedOn w:val="Normal"/>
    <w:qFormat/>
    <w:rsid w:val="000503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5030C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B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B3A"/>
    <w:rPr>
      <w:rFonts w:ascii="Segoe UI" w:eastAsia="Times New Roman" w:hAnsi="Segoe UI" w:cs="Segoe UI"/>
      <w:color w:val="00000A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</dc:creator>
  <cp:lastModifiedBy>Guilherme Camara Bicas</cp:lastModifiedBy>
  <cp:revision>96</cp:revision>
  <cp:lastPrinted>2018-08-27T20:55:00Z</cp:lastPrinted>
  <dcterms:created xsi:type="dcterms:W3CDTF">2018-08-22T18:39:00Z</dcterms:created>
  <dcterms:modified xsi:type="dcterms:W3CDTF">2018-08-27T21:10:00Z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