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15</w:t>
      </w:r>
      <w:r>
        <w:rPr>
          <w:rFonts w:ascii="Calibri" w:hAnsi="Calibri" w:asciiTheme="minorHAnsi" w:hAnsiTheme="minorHAnsi"/>
          <w:b/>
          <w:sz w:val="28"/>
          <w:szCs w:val="28"/>
        </w:rPr>
        <w:t>2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Vereador </w:t>
      </w:r>
      <w:r>
        <w:rPr>
          <w:rFonts w:ascii="Calibri" w:hAnsi="Calibri" w:asciiTheme="minorHAnsi" w:hAnsiTheme="minorHAnsi"/>
          <w:b/>
          <w:sz w:val="28"/>
          <w:szCs w:val="28"/>
        </w:rPr>
        <w:t>Rafael Candido Aquino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/>
      </w:r>
    </w:p>
    <w:p>
      <w:pPr>
        <w:pStyle w:val="NormalWeb"/>
        <w:spacing w:lineRule="auto" w:line="360"/>
        <w:ind w:firstLine="708"/>
        <w:jc w:val="both"/>
        <w:rPr>
          <w:rFonts w:asciiTheme="minorHAnsi" w:hAnsiTheme="minorHAnsi"/>
        </w:rPr>
      </w:pP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Pela presente indicação, solicito que a Administração Municipal analise a possibilidade e viabilidade de participar de processo seletivo para contratação de operação de crédito para execução de ações de saneamento.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</w:p>
    <w:p>
      <w:pPr>
        <w:pStyle w:val="NormalWeb"/>
        <w:spacing w:lineRule="auto" w:line="360"/>
        <w:ind w:firstLine="708"/>
        <w:jc w:val="center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spacing w:lineRule="auto" w:line="276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</w:t>
      </w:r>
      <w:r>
        <w:rPr>
          <w:rFonts w:ascii="Calibri" w:hAnsi="Calibri" w:asciiTheme="minorHAnsi" w:hAnsiTheme="minorHAns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Gestores municipais podem participar de processo seletivo para contratação de operações de crédito para a execução de ações de saneamento – Mutuários Públicos, conforme publicado na Instrução Normativa 22/2018, no Diário Oficial da União (DOU).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 publicação apresenta o regulamento para regras, diretrizes, critérios de elegibilidade, prazos e procedimentos para seleção de propostas na contratação de operações de crédito para a execução de ações de saneamento, bem como os critérios de priorização de propostas. Assim, fica revogada a Instrução Normativa 7/2018, que tratava do assunto.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As propostas devem se enquadrar nas modalidades de operação de crédito no âmbito do Programa Saneamento para Todos, regulamentado pela Instrução Normativa nº 39, de 24 de outubro de 2012. O pleito pode ser feito para: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Abastecimento de Água;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Esgotamento Sanitário;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Manejo de Resíduos Sólidos;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Manejo de Águas Pluviais;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Redução e Controle de Perdas;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Saneamento Integrado;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Desenvolvimento Institucional;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Preservação e Recuperação de Mananciais;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Estudos e Projetos;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* Plano de Saneamento Básico.</w:t>
      </w:r>
    </w:p>
    <w:p>
      <w:pPr>
        <w:pStyle w:val="Corpodetexto"/>
        <w:widowControl/>
        <w:spacing w:lineRule="auto" w:line="276"/>
        <w:ind w:left="0" w:right="0" w:hanging="0"/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De acordo com a IN, o Ministério das Cidades disponibilizará no sistema eletrônico de preenchimento de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carta consulta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as modalidades passíveis de cadastramento.</w:t>
      </w:r>
    </w:p>
    <w:p>
      <w:pPr>
        <w:pStyle w:val="Normal"/>
        <w:spacing w:lineRule="auto" w:line="276"/>
        <w:jc w:val="both"/>
        <w:rPr>
          <w:rFonts w:asciiTheme="minorHAnsi" w:hAnsiTheme="minorHAnsi"/>
          <w:b w:val="false"/>
          <w:i w:val="false"/>
          <w:caps w:val="false"/>
          <w:smallCaps w:val="false"/>
          <w:color w:val="000000"/>
          <w:spacing w:val="0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 27</w:t>
      </w: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 xml:space="preserve"> de agosto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Rafael Candido Aquino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3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Application>LibreOffice/5.4.5.1$Windows_X86_64 LibreOffice_project/79c9829dd5d8054ec39a82dc51cd9eff340dbee8</Application>
  <Pages>2</Pages>
  <Words>260</Words>
  <Characters>1519</Characters>
  <CharactersWithSpaces>1806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2018-08-27T17:42:01Z</cp:lastPrinted>
  <dcterms:modified xsi:type="dcterms:W3CDTF">2018-08-27T17:45:45Z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